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108</w:t>
      </w:r>
      <w:r>
        <w:rPr>
          <w:rFonts w:eastAsia="Calibri" w:cs="Times New Roman" w:ascii="Times New Roman" w:hAnsi="Times New Roman"/>
          <w:sz w:val="24"/>
          <w:szCs w:val="24"/>
        </w:rPr>
        <w:t xml:space="preserve"> от «2</w:t>
      </w:r>
      <w:r>
        <w:rPr>
          <w:rFonts w:eastAsia="Calibri" w:cs="Times New Roman" w:ascii="Times New Roman" w:hAnsi="Times New Roman"/>
          <w:sz w:val="24"/>
          <w:szCs w:val="24"/>
        </w:rPr>
        <w:t>5</w:t>
      </w: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августа</w:t>
      </w:r>
      <w:r>
        <w:rPr>
          <w:rFonts w:eastAsia="Calibri"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ПО.г.26.</w:t>
      </w:r>
      <w:r>
        <w:rPr>
          <w:rFonts w:eastAsia="Times New Roman" w:cs="Times New Roman" w:ascii="Times New Roman" w:hAnsi="Times New Roman"/>
          <w:b/>
          <w:sz w:val="28"/>
          <w:szCs w:val="28"/>
          <w:lang w:eastAsia="ru-RU"/>
        </w:rPr>
        <w:t>3</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модернизацию) лифтов.</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ListParagraph"/>
        <w:numPr>
          <w:ilvl w:val="0"/>
          <w:numId w:val="12"/>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ПО.г.26.</w:t>
      </w:r>
      <w:r>
        <w:rPr>
          <w:rFonts w:ascii="Times New Roman" w:hAnsi="Times New Roman"/>
          <w:b/>
          <w:bCs/>
          <w:sz w:val="28"/>
          <w:szCs w:val="28"/>
        </w:rPr>
        <w:t>3</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 xml:space="preserve">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 </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eastAsia="Calibri" w:cs="Times New Roman" w:ascii="Times New Roman" w:hAnsi="Times New Roman"/>
          <w:bCs/>
          <w:sz w:val="24"/>
          <w:u w:val="single"/>
          <w:lang w:val="en-US"/>
        </w:rPr>
        <w:t>dgkh</w:t>
      </w:r>
      <w:r>
        <w:rPr>
          <w:rFonts w:eastAsia="Calibri" w:cs="Times New Roman" w:ascii="Times New Roman" w:hAnsi="Times New Roman"/>
          <w:bCs/>
          <w:sz w:val="24"/>
          <w:u w:val="single"/>
        </w:rPr>
        <w:t>@</w:t>
      </w:r>
      <w:r>
        <w:rPr>
          <w:rFonts w:eastAsia="Calibri" w:cs="Times New Roman" w:ascii="Times New Roman" w:hAnsi="Times New Roman"/>
          <w:bCs/>
          <w:sz w:val="24"/>
          <w:u w:val="single"/>
          <w:lang w:val="en-US"/>
        </w:rPr>
        <w:t>ivreg</w:t>
      </w:r>
      <w:r>
        <w:rPr>
          <w:rFonts w:eastAsia="Calibri" w:cs="Times New Roman" w:ascii="Times New Roman" w:hAnsi="Times New Roman"/>
          <w:bCs/>
          <w:sz w:val="24"/>
          <w:u w:val="single"/>
        </w:rPr>
        <w:t>.</w:t>
      </w:r>
      <w:r>
        <w:rPr>
          <w:rFonts w:eastAsia="Calibri"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августа</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w:t>
      </w:r>
      <w:r>
        <w:rPr>
          <w:rFonts w:ascii="Times New Roman" w:hAnsi="Times New Roman"/>
          <w:bCs/>
          <w:sz w:val="24"/>
        </w:rPr>
        <w:t>сентября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сентября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t xml:space="preserve"> </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13"/>
        </w:numPr>
        <w:tabs>
          <w:tab w:val="clear" w:pos="708"/>
          <w:tab w:val="left" w:pos="284" w:leader="none"/>
        </w:tabs>
        <w:ind w:hanging="0" w:left="0"/>
        <w:jc w:val="center"/>
        <w:rPr>
          <w:rFonts w:ascii="Times New Roman" w:hAnsi="Times New Roman" w:cs="Times New Roman"/>
          <w:b/>
          <w:bCs/>
          <w:sz w:val="28"/>
          <w:szCs w:val="28"/>
        </w:rPr>
      </w:pPr>
      <w:r>
        <w:rPr>
          <w:rFonts w:cs="Times New Roman" w:ascii="Times New Roman" w:hAnsi="Times New Roman"/>
          <w:b/>
          <w:sz w:val="28"/>
          <w:szCs w:val="28"/>
        </w:rPr>
        <w:t xml:space="preserve">Требования к </w:t>
      </w:r>
      <w:r>
        <w:rPr>
          <w:rFonts w:cs="Times New Roman" w:ascii="Times New Roman" w:hAnsi="Times New Roman"/>
          <w:b/>
          <w:bCs/>
          <w:sz w:val="28"/>
          <w:szCs w:val="28"/>
        </w:rPr>
        <w:t>оказанию услуг и (или) выполнению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8"/>
        <w:gridCol w:w="3072"/>
        <w:gridCol w:w="6144"/>
      </w:tblGrid>
      <w:tr>
        <w:trPr>
          <w:tblHeader w:val="true"/>
          <w:trHeight w:val="458" w:hRule="atLeast"/>
        </w:trPr>
        <w:tc>
          <w:tcPr>
            <w:tcW w:w="708"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2"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8"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2"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Требование </w:t>
            </w:r>
            <w:r>
              <w:rPr>
                <w:rFonts w:cs="Times New Roman" w:ascii="Times New Roman" w:hAnsi="Times New Roman"/>
                <w:sz w:val="24"/>
                <w:szCs w:val="24"/>
              </w:rPr>
              <w:t xml:space="preserve">к оказанию услуг и (или) выполнению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 </w:t>
            </w:r>
            <w:r>
              <w:rPr>
                <w:rFonts w:eastAsia="Times New Roman" w:cs="Times New Roman" w:ascii="Times New Roman" w:hAnsi="Times New Roman"/>
                <w:sz w:val="24"/>
                <w:szCs w:val="24"/>
                <w:lang w:eastAsia="ru-RU"/>
              </w:rPr>
              <w:t>по предмету предварительного отбора подрядных организаций «Оказание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Проектно-сметная документация разрабатывается в объёме, необходимом для проведения капитального ремонта общего имущества многоквартирного дома в соответствии со следующими нормами действующего законодательства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Градостроительный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Земельный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Жилищный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от 30.12.2009 г.</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384-Ф3 «Технический регламент о безопасности зданий и сооружений»;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Федеральный закон от 23.11.2009 г.</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27.12.2002 г. №184-ФЗ «О техническом регулировании»;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22.07.2008 №123-ФЗ «Технический регламент о требованиях пожарной безопасности»;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Постановление Правительства РФ № 87 от 06.02.2008 г. «О составе разделов проектной документации и требованиях к их содержанию»;</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31937-2011 «Здания и сооружения. Правила обследования и мониторинга технического состояния».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21.1101-2013 «Основные требования к проектной и рабочей документации»;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15.13330.2012 «СНиП II-22-81  «Каменные и армокаменные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16.13330.2011 «СНиП II-23-81  «Стальные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17.13330.2001 «СНиП II-26-76 «Кровли».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20.13330.2011 «СНиП 2.01.07-85  «Нагрузки и воздействия»;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22.13330.2011 «СНиП 2.02.01-83  «Основания зданий и сооружений»;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24.13330.2011 «СНиП 2.02.03-85 «Свайные фундаменты»;</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28.13330.2012 «Защита строительных конструкций от коррозии»;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СП13330.2012 «СНиП 2.04.0185  «Внутренний водопровод и канализация зданий»;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32.13330.2012 «СНиП 2.04.03-85 «Канализация. Наружные сети и сооружения»;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50.13330.2012 «СНиП 23-02-2003 «Тепловая защита зданий»;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54.13330.2011 СНиП 31-01-2003 «Здания жилые многоквартирные»;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60.13330.2012 «СНиП 41-01-2003 «Отопление, вентиляция и кондиционирование воздуха»;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63.13330.2012 «СНиП 52-01-2003 «Бетонные и железобетонные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64.13330.2011 «СНиП II-25-80 «Деревянные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70.13330.2012 «СНиП 3.03.01-87 «Несущие и ограждающие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131.13330.2012 «СНиП23-01-99  «Строительная климатология».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СРП-2007, часть 1 «Свод реставрационных правил о составе, порядке разработки, согласования и утверждения научно-проектной документации на выполнение производственных работ по сохранению объектов культурного объекта»;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СНИП, СП и другая нормативно-техническая документация, действующая на территории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Принятые в проектно-сметной документации решения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Сметная стоимость работ по капитальному ремонту не должна превышать размера предельной стоимости услуг и (или) работ по капитальному ремонту общего имущества в МКД,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указанной в соответствующем действующем нормативно-правовом акте Ивановской области.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Подрядной организацией должны быть получены все необходимые согласования и заключения экспертизы проектно-сметной документации.</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Normal"/>
        <w:numPr>
          <w:ilvl w:val="0"/>
          <w:numId w:val="14"/>
        </w:numPr>
        <w:spacing w:lineRule="auto" w:line="240" w:before="0" w:after="0"/>
        <w:ind w:hanging="0" w:left="0"/>
        <w:jc w:val="center"/>
        <w:rPr>
          <w:rFonts w:ascii="Times New Roman" w:hAnsi="Times New Roman" w:eastAsia="Calibri" w:cs="Times New Roman"/>
          <w:b/>
          <w:sz w:val="28"/>
          <w:szCs w:val="28"/>
        </w:rPr>
      </w:pPr>
      <w:r>
        <w:rPr>
          <w:rFonts w:eastAsia="Calibri" w:cs="Times New Roman" w:ascii="Times New Roman" w:hAnsi="Times New Roman"/>
          <w:b/>
          <w:sz w:val="28"/>
          <w:szCs w:val="28"/>
        </w:rPr>
        <w:t>Сведения о существенных условиях договора об оказании услуг и (или) выполнении работ</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 установленном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расположенный на территории Ивановской области», размещенном на сайте в информационно-коммуникационной сети «Интернет» по web-адресу: http://www.kaprem37.ru/ в разделе - «Региональная программа».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Normal"/>
              <w:widowControl/>
              <w:tabs>
                <w:tab w:val="clear" w:pos="708"/>
                <w:tab w:val="left" w:pos="450" w:leader="none"/>
              </w:tabs>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ListParagraph"/>
              <w:widowControl/>
              <w:tabs>
                <w:tab w:val="clear" w:pos="708"/>
                <w:tab w:val="left" w:pos="450" w:leader="none"/>
              </w:tabs>
              <w:suppressAutoHyphens w:val="true"/>
              <w:spacing w:lineRule="auto" w:line="240" w:before="0" w:after="0"/>
              <w:ind w:left="25"/>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Normal"/>
              <w:widowControl/>
              <w:tabs>
                <w:tab w:val="clear" w:pos="708"/>
                <w:tab w:val="left" w:pos="450" w:leader="none"/>
              </w:tabs>
              <w:suppressAutoHyphens w:val="true"/>
              <w:spacing w:lineRule="auto" w:line="240"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услуг и (или) работ</w:t>
            </w:r>
          </w:p>
        </w:tc>
        <w:tc>
          <w:tcPr>
            <w:tcW w:w="7371" w:type="dxa"/>
            <w:tcBorders/>
          </w:tcPr>
          <w:p>
            <w:pPr>
              <w:pStyle w:val="Normal"/>
              <w:widowControl/>
              <w:suppressAutoHyphens w:val="true"/>
              <w:spacing w:lineRule="auto" w:line="259" w:before="0" w:after="160"/>
              <w:jc w:val="both"/>
              <w:rPr>
                <w:rStyle w:val="Style15"/>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Порядок и сроки оплаты работ по договору устанавливаются Заказчиком в документации о проведении электронного аукциона.</w:t>
            </w:r>
            <w:r>
              <w:rPr>
                <w:rFonts w:eastAsia="Calibri" w:cs="Times New Roman" w:ascii="Times New Roman" w:hAnsi="Times New Roman"/>
                <w:kern w:val="0"/>
                <w:sz w:val="24"/>
                <w:szCs w:val="24"/>
                <w:lang w:val="ru-RU" w:eastAsia="ru-RU" w:bidi="ar-SA"/>
              </w:rPr>
              <w:t xml:space="preserve"> При любом установленном договором порядке окончательная оплата услуг и (или) работ по договору производится</w:t>
            </w:r>
            <w:r>
              <w:rPr>
                <w:rFonts w:eastAsia="Calibri" w:cs="Times New Roman"/>
                <w:kern w:val="0"/>
                <w:sz w:val="22"/>
                <w:szCs w:val="22"/>
                <w:lang w:val="ru-RU" w:eastAsia="en-US" w:bidi="ar-SA"/>
              </w:rPr>
              <w:t xml:space="preserve"> </w:t>
            </w:r>
            <w:r>
              <w:rPr>
                <w:rFonts w:eastAsia="Calibri" w:cs="Times New Roman" w:ascii="Times New Roman" w:hAnsi="Times New Roman"/>
                <w:kern w:val="0"/>
                <w:sz w:val="24"/>
                <w:szCs w:val="24"/>
                <w:lang w:val="ru-RU" w:eastAsia="ru-RU" w:bidi="ar-SA"/>
              </w:rPr>
              <w:t xml:space="preserve">за фактически выполненные услуги и (или) работы на основании утверждённого комиссией, созданной в порядке п. 5 ч. 2 ст. 182 ЖК РФ, </w:t>
            </w:r>
            <w:r>
              <w:rPr>
                <w:rStyle w:val="Style15"/>
                <w:rFonts w:eastAsia="Calibri" w:cs="Times New Roman" w:ascii="Times New Roman" w:hAnsi="Times New Roman"/>
                <w:kern w:val="0"/>
                <w:sz w:val="24"/>
                <w:szCs w:val="24"/>
                <w:lang w:val="ru-RU" w:eastAsia="en-US" w:bidi="ar-SA"/>
              </w:rPr>
              <w:t xml:space="preserve">и согласованного в порядке, предусмотренном ч. 2 ст. 190 ЖК РФ, акта о приёмке </w:t>
            </w:r>
            <w:r>
              <w:rPr>
                <w:rFonts w:eastAsia="Calibri" w:cs="Times New Roman" w:ascii="Times New Roman" w:hAnsi="Times New Roman"/>
                <w:kern w:val="0"/>
                <w:sz w:val="24"/>
                <w:szCs w:val="24"/>
                <w:lang w:val="ru-RU" w:eastAsia="en-US" w:bidi="ar-SA"/>
              </w:rPr>
              <w:t>оказанных услуг и (или) выполненных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 и (или) выполненных работ</w:t>
            </w:r>
          </w:p>
        </w:tc>
        <w:tc>
          <w:tcPr>
            <w:tcW w:w="7371" w:type="dxa"/>
            <w:tcBorders/>
          </w:tcPr>
          <w:p>
            <w:pPr>
              <w:pStyle w:val="ConsPlusNormal1"/>
              <w:suppressAutoHyphens w:val="true"/>
              <w:spacing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Порядок и сроки оказанных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Normal"/>
              <w:widowControl/>
              <w:suppressAutoHyphens w:val="true"/>
              <w:spacing w:lineRule="auto" w:line="240" w:before="0" w:after="0"/>
              <w:jc w:val="both"/>
              <w:rPr>
                <w:rStyle w:val="Style15"/>
                <w:rFonts w:ascii="Times New Roman" w:hAnsi="Times New Roman" w:eastAsia="Calibri" w:cs="Times New Roman"/>
                <w:sz w:val="24"/>
                <w:szCs w:val="24"/>
              </w:rPr>
            </w:pPr>
            <w:r>
              <w:rPr>
                <w:rStyle w:val="Style15"/>
                <w:rFonts w:eastAsia="Calibri" w:cs="Times New Roman" w:ascii="Times New Roman" w:hAnsi="Times New Roman"/>
                <w:kern w:val="0"/>
                <w:sz w:val="24"/>
                <w:szCs w:val="24"/>
                <w:lang w:val="ru-RU" w:eastAsia="en-US" w:bidi="ar-SA"/>
              </w:rPr>
              <w:t xml:space="preserve">7. В </w:t>
            </w:r>
            <w:r>
              <w:rPr>
                <w:rFonts w:eastAsia="Calibri" w:cs="Times New Roman" w:ascii="Times New Roman" w:hAnsi="Times New Roman"/>
                <w:kern w:val="0"/>
                <w:sz w:val="24"/>
                <w:szCs w:val="24"/>
                <w:lang w:val="ru-RU" w:eastAsia="en-US" w:bidi="ar-SA"/>
              </w:rPr>
              <w:t>документации о проведении электронного аукциона</w:t>
            </w:r>
            <w:r>
              <w:rPr>
                <w:rStyle w:val="Style15"/>
                <w:rFonts w:eastAsia="Calibri" w:cs="Times New Roman" w:ascii="Times New Roman" w:hAnsi="Times New Roman"/>
                <w:kern w:val="0"/>
                <w:sz w:val="24"/>
                <w:szCs w:val="24"/>
                <w:lang w:val="ru-RU" w:eastAsia="en-US"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uppressAutoHyphens w:val="true"/>
              <w:spacing w:before="0" w:after="0"/>
              <w:ind w:left="41"/>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uppressAutoHyphens w:val="true"/>
              <w:spacing w:before="0" w:after="0"/>
              <w:ind w:left="41"/>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исполнителя</w:t>
            </w:r>
          </w:p>
        </w:tc>
        <w:tc>
          <w:tcPr>
            <w:tcW w:w="7371" w:type="dxa"/>
            <w:tcBorders/>
          </w:tcPr>
          <w:p>
            <w:pPr>
              <w:pStyle w:val="ConsPlusNormal1"/>
              <w:tabs>
                <w:tab w:val="clear" w:pos="708"/>
                <w:tab w:val="left" w:pos="600" w:leader="none"/>
              </w:tabs>
              <w:suppressAutoHyphens w:val="true"/>
              <w:spacing w:before="0" w:after="0"/>
              <w:ind w:firstLine="5"/>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ind w:left="38"/>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7"/>
        </w:numPr>
        <w:tabs>
          <w:tab w:val="clear" w:pos="708"/>
          <w:tab w:val="left" w:pos="426" w:leader="none"/>
        </w:tabs>
        <w:spacing w:lineRule="auto" w:line="240" w:before="0" w:after="0"/>
        <w:contextualSpacing/>
        <w:rPr>
          <w:rFonts w:ascii="Times New Roman" w:hAnsi="Times New Roman" w:eastAsia="Calibri" w:cs="Times New Roman"/>
          <w:b/>
          <w:sz w:val="28"/>
          <w:szCs w:val="28"/>
        </w:rPr>
      </w:pPr>
      <w:r>
        <w:rPr>
          <w:rFonts w:eastAsia="Calibri" w:cs="Times New Roman" w:ascii="Times New Roman" w:hAnsi="Times New Roman"/>
          <w:b/>
          <w:sz w:val="28"/>
          <w:szCs w:val="28"/>
        </w:rPr>
        <w:t>Планируемый адресный перечень многоквартирных домов</w:t>
      </w:r>
    </w:p>
    <w:p>
      <w:pPr>
        <w:pStyle w:val="Normal"/>
        <w:tabs>
          <w:tab w:val="clear" w:pos="708"/>
          <w:tab w:val="left" w:pos="284" w:leader="none"/>
        </w:tabs>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ListLabel118"/>
            <w:rFonts w:eastAsia="Calibri" w:cs="Times New Roman" w:ascii="Times New Roman" w:hAnsi="Times New Roman"/>
            <w:color w:val="0000FF"/>
            <w:sz w:val="28"/>
            <w:szCs w:val="28"/>
            <w:u w:val="single"/>
          </w:rPr>
          <w:t>http://kaprem37.ru/</w:t>
        </w:r>
      </w:hyperlink>
      <w:r>
        <w:rPr>
          <w:rFonts w:eastAsia="Calibri" w:cs="Times New Roman" w:ascii="Times New Roman" w:hAnsi="Times New Roman"/>
          <w:sz w:val="28"/>
          <w:szCs w:val="28"/>
        </w:rPr>
        <w:t xml:space="preserve"> в разделе «Региональная программа».</w:t>
      </w:r>
    </w:p>
    <w:p>
      <w:pPr>
        <w:pStyle w:val="ListParagraph"/>
        <w:numPr>
          <w:ilvl w:val="0"/>
          <w:numId w:val="7"/>
        </w:numPr>
        <w:tabs>
          <w:tab w:val="clear" w:pos="708"/>
          <w:tab w:val="left" w:pos="284" w:leader="none"/>
        </w:tabs>
        <w:spacing w:lineRule="auto" w:line="240" w:before="0" w:after="0"/>
        <w:contextualSpacing/>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r>
        <w:rPr>
          <w:rFonts w:cs="Times New Roman" w:ascii="Times New Roman" w:hAnsi="Times New Roman"/>
          <w:sz w:val="28"/>
          <w:szCs w:val="28"/>
        </w:rPr>
        <w:t xml:space="preserve">, устанавливаются следующие требования к его участникам (далее – Участник):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архитектурно-строительного проектирования,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6"/>
        <w:gridCol w:w="2127"/>
        <w:gridCol w:w="1841"/>
        <w:gridCol w:w="2408"/>
        <w:gridCol w:w="1558"/>
      </w:tblGrid>
      <w:tr>
        <w:trPr>
          <w:trHeight w:val="9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335"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24"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w:t>
      </w:r>
      <w:r>
        <w:rPr>
          <w:rFonts w:eastAsia="Times New Roman" w:cs="Times New Roman" w:ascii="Times New Roman" w:hAnsi="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sz w:val="18"/>
          <w:szCs w:val="18"/>
          <w:lang w:eastAsia="ru-RU"/>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color w:themeColor="text1" w:val="000000"/>
          <w:sz w:val="28"/>
          <w:szCs w:val="28"/>
        </w:rPr>
      </w:pPr>
      <w:r>
        <w:rPr>
          <w:rFonts w:eastAsia="Calibri" w:cs="Times New Roman" w:ascii="Times New Roman" w:hAnsi="Times New Roman"/>
          <w:color w:themeColor="text1" w:val="000000"/>
          <w:sz w:val="28"/>
          <w:szCs w:val="28"/>
        </w:rPr>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являлась разработка проектной документации,</w:t>
      </w:r>
      <w:r>
        <w:rPr/>
        <w:t xml:space="preserve"> </w:t>
      </w:r>
      <w:r>
        <w:rPr>
          <w:rFonts w:eastAsia="Calibri" w:cs="Times New Roman" w:ascii="Times New Roman" w:hAnsi="Times New Roman"/>
          <w:sz w:val="28"/>
          <w:szCs w:val="28"/>
        </w:rPr>
        <w:t>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25 000 000 (двадцать пять миллионов) рублей (первый уровень ответственности);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25 000 000 (двадцати пяти миллионов) рублей, но не превышает 50 000 000 (пятьдесят миллионов) рублей (второй уровень ответственности);</w:t>
      </w:r>
    </w:p>
    <w:p>
      <w:pPr>
        <w:pStyle w:val="Normal"/>
        <w:spacing w:lineRule="auto" w:line="240" w:before="0" w:after="0"/>
        <w:ind w:firstLine="709"/>
        <w:contextualSpacing/>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300 000 000 (трехсот миллионов) рублей (третий и четвертый уровень ответственности);</w:t>
      </w:r>
    </w:p>
    <w:p>
      <w:pPr>
        <w:pStyle w:val="Normal"/>
        <w:spacing w:lineRule="auto" w:line="240" w:before="0" w:after="0"/>
        <w:ind w:firstLine="709"/>
        <w:contextualSpacing/>
        <w:jc w:val="both"/>
        <w:rPr>
          <w:rFonts w:ascii="Times New Roman" w:hAnsi="Times New Roman" w:eastAsia="Calibri" w:cs="Times New Roman"/>
          <w:sz w:val="28"/>
          <w:szCs w:val="28"/>
        </w:rPr>
      </w:pPr>
      <w:r>
        <w:rPr>
          <w:rFonts w:eastAsia="Calibri"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подписать Заявку усиленной неквалифицированной электронной подписью.</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и) штатно-списочный состав сотрудников, подготовленный по форме приложения № 2 к Документации о проведении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м)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Normal"/>
        <w:spacing w:lineRule="auto" w:line="240" w:before="0" w:after="0"/>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Участник в рамках извещения о проведении предварительного отбора </w:t>
      </w:r>
      <w:r>
        <w:rPr>
          <w:rFonts w:eastAsia="Times New Roman" w:cs="Times New Roman" w:ascii="Times New Roman" w:hAnsi="Times New Roman"/>
          <w:b/>
          <w:sz w:val="28"/>
          <w:szCs w:val="28"/>
          <w:lang w:eastAsia="ru-RU"/>
        </w:rPr>
        <w:t>№ ПО.г.26.</w:t>
      </w:r>
      <w:r>
        <w:rPr>
          <w:rFonts w:eastAsia="Times New Roman" w:cs="Times New Roman" w:ascii="Times New Roman" w:hAnsi="Times New Roman"/>
          <w:b/>
          <w:sz w:val="28"/>
          <w:szCs w:val="28"/>
          <w:lang w:eastAsia="ru-RU"/>
        </w:rPr>
        <w:t>3</w:t>
      </w:r>
      <w:r>
        <w:rPr>
          <w:rFonts w:eastAsia="Times New Roman" w:cs="Times New Roman" w:ascii="Times New Roman" w:hAnsi="Times New Roman"/>
          <w:b/>
          <w:sz w:val="28"/>
          <w:szCs w:val="28"/>
          <w:lang w:eastAsia="ru-RU"/>
        </w:rPr>
        <w:t xml:space="preserve"> от 2</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.0</w:t>
      </w:r>
      <w:r>
        <w:rPr>
          <w:rFonts w:eastAsia="Times New Roman" w:cs="Times New Roman" w:ascii="Times New Roman" w:hAnsi="Times New Roman"/>
          <w:b/>
          <w:sz w:val="28"/>
          <w:szCs w:val="28"/>
          <w:lang w:eastAsia="ru-RU"/>
        </w:rPr>
        <w:t>8</w:t>
      </w:r>
      <w:r>
        <w:rPr>
          <w:rFonts w:eastAsia="Times New Roman" w:cs="Times New Roman" w:ascii="Times New Roman" w:hAnsi="Times New Roman"/>
          <w:b/>
          <w:sz w:val="28"/>
          <w:szCs w:val="28"/>
          <w:lang w:eastAsia="ru-RU"/>
        </w:rPr>
        <w:t>.2026</w:t>
      </w:r>
      <w:r>
        <w:rPr>
          <w:rFonts w:eastAsia="Times New Roman" w:cs="Times New Roman" w:ascii="Times New Roman" w:hAnsi="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изменить.</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w:t>
      </w:r>
    </w:p>
    <w:p>
      <w:pPr>
        <w:pStyle w:val="Normal"/>
        <w:widowControl w:val="false"/>
        <w:numPr>
          <w:ilvl w:val="0"/>
          <w:numId w:val="3"/>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подается Участником не ранее даты, указанной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поданные ранее даты и времени, указанные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Запросы принимаются </w:t>
      </w:r>
      <w:r>
        <w:rPr>
          <w:rFonts w:eastAsia="Times New Roman" w:cs="Times New Roman" w:ascii="Times New Roman" w:hAnsi="Times New Roman"/>
          <w:b/>
          <w:sz w:val="28"/>
          <w:szCs w:val="28"/>
          <w:lang w:eastAsia="ru-RU"/>
        </w:rPr>
        <w:t xml:space="preserve">до </w:t>
      </w:r>
      <w:r>
        <w:rPr>
          <w:rFonts w:eastAsia="Times New Roman" w:cs="Times New Roman" w:ascii="Times New Roman" w:hAnsi="Times New Roman"/>
          <w:b/>
          <w:sz w:val="28"/>
          <w:szCs w:val="28"/>
          <w:lang w:eastAsia="ru-RU"/>
        </w:rPr>
        <w:t>7</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b/>
          <w:sz w:val="28"/>
          <w:szCs w:val="28"/>
          <w:lang w:eastAsia="ru-RU"/>
        </w:rPr>
        <w:t>сентября</w:t>
      </w:r>
      <w:r>
        <w:rPr>
          <w:rFonts w:eastAsia="Times New Roman" w:cs="Times New Roman" w:ascii="Times New Roman" w:hAnsi="Times New Roman"/>
          <w:b/>
          <w:sz w:val="28"/>
          <w:szCs w:val="28"/>
          <w:lang w:eastAsia="ru-RU"/>
        </w:rPr>
        <w:t xml:space="preserve"> 2026</w:t>
      </w:r>
      <w:bookmarkStart w:id="0" w:name="_GoBack"/>
      <w:bookmarkEnd w:id="0"/>
      <w:r>
        <w:rPr>
          <w:rFonts w:eastAsia="Times New Roman" w:cs="Times New Roman" w:ascii="Times New Roman" w:hAnsi="Times New Roman"/>
          <w:b/>
          <w:sz w:val="28"/>
          <w:szCs w:val="28"/>
          <w:lang w:eastAsia="ru-RU"/>
        </w:rPr>
        <w:t xml:space="preserve"> г.</w:t>
      </w:r>
      <w:r>
        <w:rPr>
          <w:rFonts w:eastAsia="Times New Roman" w:cs="Times New Roman" w:ascii="Times New Roman" w:hAnsi="Times New Roman"/>
          <w:sz w:val="28"/>
          <w:szCs w:val="28"/>
          <w:lang w:eastAsia="ru-RU"/>
        </w:rPr>
        <w:t xml:space="preserve"> включительно.</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Запрос должен быть подписан, усиленной неквалифицированной электронной подписью лица, направившего Запрос.</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 xml:space="preserve">Порядок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принятия Комиссией решения о невключении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 подавших Заявки до указанных в Извещении даты и времени окончания срока подачи Заявок.</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t xml:space="preserve">  </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 xml:space="preserve">___ </w:t>
      </w:r>
      <w:r>
        <w:rPr>
          <w:rFonts w:cs="Times New Roman" w:ascii="Times New Roman" w:hAnsi="Times New Roman"/>
          <w:b/>
          <w:sz w:val="24"/>
          <w:szCs w:val="24"/>
        </w:rPr>
        <w:t xml:space="preserve">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fals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 xml:space="preserve">(указывается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 </w:t>
      </w:r>
      <w:r>
        <w:rPr>
          <w:rFonts w:eastAsia="Times New Roman" w:cs="Times New Roman" w:ascii="Times New Roman" w:hAnsi="Times New Roman"/>
          <w:bCs/>
          <w:sz w:val="24"/>
          <w:szCs w:val="24"/>
          <w:u w:val="single"/>
          <w:lang w:eastAsia="ru-RU"/>
        </w:rPr>
        <w:t xml:space="preserve">       .</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8"/>
        <w:gridCol w:w="2157"/>
        <w:gridCol w:w="1700"/>
        <w:gridCol w:w="1418"/>
        <w:gridCol w:w="1731"/>
        <w:gridCol w:w="2521"/>
      </w:tblGrid>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426"/>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3192" w:hanging="360"/>
      </w:pPr>
      <w:rPr>
        <w:b/>
      </w:rPr>
    </w:lvl>
    <w:lvl w:ilvl="1">
      <w:start w:val="1"/>
      <w:numFmt w:val="decimal"/>
      <w:lvlText w:val="%1.%2."/>
      <w:lvlJc w:val="left"/>
      <w:pPr>
        <w:tabs>
          <w:tab w:val="num" w:pos="0"/>
        </w:tabs>
        <w:ind w:left="1850"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4"/>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8"/>
    <w:lvlOverride w:ilvl="0">
      <w:startOverride w:val="1"/>
    </w:lvlOverride>
  </w:num>
  <w:num w:numId="13">
    <w:abstractNumId w:val="8"/>
  </w:num>
  <w:num w:numId="14">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1c2a6b"/>
    <w:rPr/>
  </w:style>
  <w:style w:type="character" w:styleId="ConsPlusNormal" w:customStyle="1">
    <w:name w:val="ConsPlusNormal Знак"/>
    <w:basedOn w:val="DefaultParagraphFont"/>
    <w:link w:val="ConsPlusNormal1"/>
    <w:qFormat/>
    <w:locked/>
    <w:rsid w:val="001c2a6b"/>
    <w:rPr>
      <w:rFonts w:ascii="Arial" w:hAnsi="Arial" w:eastAsia="" w:cs="Arial" w:eastAsiaTheme="minorEastAsia"/>
      <w:sz w:val="20"/>
      <w:szCs w:val="20"/>
      <w:lang w:eastAsia="ru-RU"/>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FF193-B1E4-41D5-95DB-74AA1CD7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Application>LibreOffice/24.2.4.2$Windows_X86_64 LibreOffice_project/51a6219feb6075d9a4c46691dcfe0cd9c4fff3c2</Application>
  <AppVersion>15.0000</AppVersion>
  <Pages>22</Pages>
  <Words>6071</Words>
  <Characters>44821</Characters>
  <CharactersWithSpaces>50699</CharactersWithSpaces>
  <Paragraphs>338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2017-11-30T17:34:00Z</dcterms:created>
  <dc:creator>Василий</dc:creator>
  <dc:description/>
  <dc:language>ru-RU</dc:language>
  <cp:lastModifiedBy/>
  <cp:lastPrinted>2018-08-06T11:56:00Z</cp:lastPrinted>
  <dcterms:modified xsi:type="dcterms:W3CDTF">2026-08-25T16:21:41Z</dcterms:modified>
  <cp:revision>85</cp:revision>
  <dc:subject/>
  <dc:title/>
</cp:coreProperties>
</file>

<file path=docProps/custom.xml><?xml version="1.0" encoding="utf-8"?>
<Properties xmlns="http://schemas.openxmlformats.org/officeDocument/2006/custom-properties" xmlns:vt="http://schemas.openxmlformats.org/officeDocument/2006/docPropsVTypes"/>
</file>